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HANDBOOK </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tl w:val="0"/>
        </w:rPr>
      </w:r>
    </w:p>
    <w:tbl>
      <w:tblPr>
        <w:tblStyle w:val="Table1"/>
        <w:tblW w:w="1019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020"/>
        <w:gridCol w:w="1695"/>
        <w:gridCol w:w="1590"/>
        <w:gridCol w:w="1575"/>
        <w:gridCol w:w="1875"/>
        <w:gridCol w:w="1866"/>
        <w:tblGridChange w:id="0">
          <w:tblGrid>
            <w:gridCol w:w="570"/>
            <w:gridCol w:w="1020"/>
            <w:gridCol w:w="1695"/>
            <w:gridCol w:w="1590"/>
            <w:gridCol w:w="1575"/>
            <w:gridCol w:w="1875"/>
            <w:gridCol w:w="1866"/>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03">
            <w:pPr>
              <w:pStyle w:val="Heading1"/>
              <w:widowControl w:val="0"/>
              <w:spacing w:after="0" w:before="0" w:line="240" w:lineRule="auto"/>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color w:val="1f1f1f"/>
                <w:sz w:val="22"/>
                <w:szCs w:val="22"/>
                <w:highlight w:val="white"/>
                <w:rtl w:val="0"/>
              </w:rPr>
              <w:t xml:space="preserve">Educational Science</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Title</w:t>
            </w:r>
          </w:p>
          <w:p w:rsidR="00000000" w:rsidDel="00000000" w:rsidP="00000000" w:rsidRDefault="00000000" w:rsidRPr="00000000" w14:paraId="0000000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Style w:val="Heading1"/>
              <w:widowControl w:val="0"/>
              <w:spacing w:after="0" w:before="0" w:lineRule="auto"/>
              <w:rPr>
                <w:rFonts w:ascii="Times New Roman" w:cs="Times New Roman" w:eastAsia="Times New Roman" w:hAnsi="Times New Roman"/>
              </w:rPr>
            </w:pPr>
            <w:bookmarkStart w:colFirst="0" w:colLast="0" w:name="_heading=h.5ir85p12u6fv" w:id="1"/>
            <w:bookmarkEnd w:id="1"/>
            <w:r w:rsidDel="00000000" w:rsidR="00000000" w:rsidRPr="00000000">
              <w:rPr>
                <w:rFonts w:ascii="Times New Roman" w:cs="Times New Roman" w:eastAsia="Times New Roman" w:hAnsi="Times New Roman"/>
                <w:color w:val="1f1f1f"/>
                <w:sz w:val="22"/>
                <w:szCs w:val="22"/>
                <w:highlight w:val="white"/>
                <w:rtl w:val="0"/>
              </w:rPr>
              <w:t xml:space="preserve">Educational Science</w:t>
            </w: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Workload</w:t>
            </w:r>
          </w:p>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90,67 hours/Semester</w:t>
            </w:r>
          </w:p>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 (ECTS)</w:t>
            </w:r>
          </w:p>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w:t>
            </w:r>
          </w:p>
          <w:p w:rsidR="00000000" w:rsidDel="00000000" w:rsidP="00000000" w:rsidRDefault="00000000" w:rsidRPr="00000000" w14:paraId="0000001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1/1</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Frequency</w:t>
            </w:r>
          </w:p>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w:t>
            </w:r>
          </w:p>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p>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course</w:t>
            </w:r>
          </w:p>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w:t>
            </w:r>
          </w:p>
        </w:tc>
        <w:tc>
          <w:tcPr>
            <w:gridSpan w:val="2"/>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hours</w:t>
            </w:r>
          </w:p>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p>
          <w:p w:rsidR="00000000" w:rsidDel="00000000" w:rsidP="00000000" w:rsidRDefault="00000000" w:rsidRPr="00000000" w14:paraId="0000002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Structured Assignment</w:t>
            </w:r>
          </w:p>
          <w:p w:rsidR="00000000" w:rsidDel="00000000" w:rsidP="00000000" w:rsidRDefault="00000000" w:rsidRPr="00000000" w14:paraId="00000029">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60/170 x 28,48 x (2 Credits x 1.59) = 32,0</w:t>
            </w: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Independent study</w:t>
            </w:r>
          </w:p>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size</w:t>
            </w:r>
          </w:p>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6"/>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Prerequisites for participation (if applicable)</w:t>
            </w:r>
          </w:p>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6"/>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Learning outcomes (PLO+CLO)</w:t>
            </w:r>
            <w:r w:rsidDel="00000000" w:rsidR="00000000" w:rsidRPr="00000000">
              <w:rPr>
                <w:rtl w:val="0"/>
              </w:rPr>
            </w:r>
          </w:p>
          <w:p w:rsidR="00000000" w:rsidDel="00000000" w:rsidP="00000000" w:rsidRDefault="00000000" w:rsidRPr="00000000" w14:paraId="0000003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 (Program Learning Outcomes):</w:t>
            </w:r>
          </w:p>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Apply logical, critical, creative, and systematic thinking in the context of developing and implementing Science and Technology in the field of early childhood education, according to the applicable curriculum, based on scientific principles, procedures, and ethics.</w:t>
            </w:r>
            <w:r w:rsidDel="00000000" w:rsidR="00000000" w:rsidRPr="00000000">
              <w:rPr>
                <w:rFonts w:ascii="Times New Roman" w:cs="Times New Roman" w:eastAsia="Times New Roman" w:hAnsi="Times New Roman"/>
                <w:rtl w:val="0"/>
              </w:rPr>
              <w:t xml:space="preserve"> (GC 1)</w:t>
            </w:r>
          </w:p>
          <w:p w:rsidR="00000000" w:rsidDel="00000000" w:rsidP="00000000" w:rsidRDefault="00000000" w:rsidRPr="00000000" w14:paraId="0000004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 (Course Learning Outcomes):</w:t>
            </w:r>
          </w:p>
          <w:p w:rsidR="00000000" w:rsidDel="00000000" w:rsidP="00000000" w:rsidRDefault="00000000" w:rsidRPr="00000000" w14:paraId="0000004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apply expertise in the field of educational science and utilize Science and Technology to solve education and learning-related problems, both theoretically and practically, in order to adapt effectively.(GC 1)</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6"/>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Subject aims/content</w:t>
            </w:r>
          </w:p>
          <w:p w:rsidR="00000000" w:rsidDel="00000000" w:rsidP="00000000" w:rsidRDefault="00000000" w:rsidRPr="00000000" w14:paraId="0000004A">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is designed to equip prospective teachers with fundamental concepts in the field of Education Science, the essence of human beings and their development, educational foundations, education as a system, educational issues, educational innovations in Indonesia, and character education both within and outside of school.</w:t>
            </w:r>
          </w:p>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 Basic Concepts of Educational Science, (2) The Nature of Human Being and Its Development, (3) The Essence of Educational Science, (4) Understanding Education as a System and the National Education System, (5) Understanding Education as a System and the National Education System, (6) Understanding Education as a System and the National Education System, (7) Understanding the Foundations of Educational Science, (8) Understanding Educational Innovations in Indonesia, (9) Understanding Character Education.</w:t>
            </w:r>
          </w:p>
          <w:p w:rsidR="00000000" w:rsidDel="00000000" w:rsidP="00000000" w:rsidRDefault="00000000" w:rsidRPr="00000000" w14:paraId="0000004D">
            <w:pPr>
              <w:widowControl w:val="0"/>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6"/>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methods </w:t>
            </w:r>
          </w:p>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6"/>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methods</w:t>
            </w:r>
          </w:p>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 Paper, Portofolio</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6"/>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module is used in the following study program/s as well</w:t>
            </w:r>
          </w:p>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gridSpan w:val="6"/>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Coordinator</w:t>
            </w:r>
          </w:p>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Ruqoyyah Fitri,</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u w:val="single"/>
                  <w:rtl w:val="0"/>
                </w:rPr>
                <w:t xml:space="preserve">S.Ag</w:t>
              </w:r>
            </w:hyperlink>
            <w:r w:rsidDel="00000000" w:rsidR="00000000" w:rsidRPr="00000000">
              <w:rPr>
                <w:rFonts w:ascii="Times New Roman" w:cs="Times New Roman" w:eastAsia="Times New Roman" w:hAnsi="Times New Roman"/>
                <w:rtl w:val="0"/>
              </w:rPr>
              <w:t xml:space="preserve">., M.Pd</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gridSpan w:val="6"/>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Reference :</w:t>
            </w:r>
          </w:p>
          <w:p w:rsidR="00000000" w:rsidDel="00000000" w:rsidP="00000000" w:rsidRDefault="00000000" w:rsidRPr="00000000" w14:paraId="00000076">
            <w:pPr>
              <w:numPr>
                <w:ilvl w:val="0"/>
                <w:numId w:val="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Dewantara, Ki Hajar. 2017. </w:t>
            </w:r>
            <w:r w:rsidDel="00000000" w:rsidR="00000000" w:rsidRPr="00000000">
              <w:rPr>
                <w:rFonts w:ascii="Times New Roman" w:cs="Times New Roman" w:eastAsia="Times New Roman" w:hAnsi="Times New Roman"/>
                <w:i w:val="1"/>
                <w:rtl w:val="0"/>
              </w:rPr>
              <w:t xml:space="preserve">Ki Hajar Dewantara Tentang Pendidikan </w:t>
            </w:r>
            <w:r w:rsidDel="00000000" w:rsidR="00000000" w:rsidRPr="00000000">
              <w:rPr>
                <w:rFonts w:ascii="Times New Roman" w:cs="Times New Roman" w:eastAsia="Times New Roman" w:hAnsi="Times New Roman"/>
                <w:rtl w:val="0"/>
              </w:rPr>
              <w:t xml:space="preserve">. Yogyakarta: Taman Siswa Press.</w:t>
            </w:r>
          </w:p>
          <w:p w:rsidR="00000000" w:rsidDel="00000000" w:rsidP="00000000" w:rsidRDefault="00000000" w:rsidRPr="00000000" w14:paraId="00000077">
            <w:pPr>
              <w:numPr>
                <w:ilvl w:val="0"/>
                <w:numId w:val="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Mudyahardjo, Redja. 2012. </w:t>
            </w:r>
            <w:r w:rsidDel="00000000" w:rsidR="00000000" w:rsidRPr="00000000">
              <w:rPr>
                <w:rFonts w:ascii="Times New Roman" w:cs="Times New Roman" w:eastAsia="Times New Roman" w:hAnsi="Times New Roman"/>
                <w:i w:val="1"/>
                <w:rtl w:val="0"/>
              </w:rPr>
              <w:t xml:space="preserve">Pengantar Pendidikan: Sebuah Studi Awal Tentang Dasar-Dasar Pendidikan Pada Umum dan Pendidikan di Indonesia. </w:t>
            </w:r>
            <w:r w:rsidDel="00000000" w:rsidR="00000000" w:rsidRPr="00000000">
              <w:rPr>
                <w:rFonts w:ascii="Times New Roman" w:cs="Times New Roman" w:eastAsia="Times New Roman" w:hAnsi="Times New Roman"/>
                <w:highlight w:val="white"/>
                <w:rtl w:val="0"/>
              </w:rPr>
              <w:t xml:space="preserve">Jakarta: PT Raja Grafindo Persada</w:t>
            </w:r>
            <w:r w:rsidDel="00000000" w:rsidR="00000000" w:rsidRPr="00000000">
              <w:rPr>
                <w:rtl w:val="0"/>
              </w:rPr>
            </w:r>
          </w:p>
          <w:p w:rsidR="00000000" w:rsidDel="00000000" w:rsidP="00000000" w:rsidRDefault="00000000" w:rsidRPr="00000000" w14:paraId="00000078">
            <w:pPr>
              <w:numPr>
                <w:ilvl w:val="0"/>
                <w:numId w:val="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Roesminingsih, MV &amp; Susarno, Lamijan Hadi. 2019. </w:t>
            </w:r>
            <w:r w:rsidDel="00000000" w:rsidR="00000000" w:rsidRPr="00000000">
              <w:rPr>
                <w:rFonts w:ascii="Times New Roman" w:cs="Times New Roman" w:eastAsia="Times New Roman" w:hAnsi="Times New Roman"/>
                <w:i w:val="1"/>
                <w:rtl w:val="0"/>
              </w:rPr>
              <w:t xml:space="preserve">Teori Dan Praktek Pendidikan </w:t>
            </w:r>
            <w:r w:rsidDel="00000000" w:rsidR="00000000" w:rsidRPr="00000000">
              <w:rPr>
                <w:rFonts w:ascii="Times New Roman" w:cs="Times New Roman" w:eastAsia="Times New Roman" w:hAnsi="Times New Roman"/>
                <w:rtl w:val="0"/>
              </w:rPr>
              <w:t xml:space="preserve">. Surabaya: Lembaga Pengkajian dan Pengembangan Ilmu Pendidikan Fakultas Ilmu Pendidikan Universitas Negeri Surabaya bekerja sama dengan Penerbit CV. Bintang Surabaya.</w:t>
            </w:r>
          </w:p>
          <w:p w:rsidR="00000000" w:rsidDel="00000000" w:rsidP="00000000" w:rsidRDefault="00000000" w:rsidRPr="00000000" w14:paraId="00000079">
            <w:pPr>
              <w:numPr>
                <w:ilvl w:val="0"/>
                <w:numId w:val="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Wiji Suwarno. 2006. </w:t>
            </w:r>
            <w:r w:rsidDel="00000000" w:rsidR="00000000" w:rsidRPr="00000000">
              <w:rPr>
                <w:rFonts w:ascii="Times New Roman" w:cs="Times New Roman" w:eastAsia="Times New Roman" w:hAnsi="Times New Roman"/>
                <w:i w:val="1"/>
                <w:rtl w:val="0"/>
              </w:rPr>
              <w:t xml:space="preserve">Dasar-Dasar Ilmu Pendidikan</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highlight w:val="white"/>
                <w:rtl w:val="0"/>
              </w:rPr>
              <w:t xml:space="preserve">Yogyakarta: Ar-Ruzz.</w:t>
            </w:r>
            <w:r w:rsidDel="00000000" w:rsidR="00000000" w:rsidRPr="00000000">
              <w:rPr>
                <w:rtl w:val="0"/>
              </w:rPr>
            </w:r>
          </w:p>
          <w:p w:rsidR="00000000" w:rsidDel="00000000" w:rsidP="00000000" w:rsidRDefault="00000000" w:rsidRPr="00000000" w14:paraId="0000007A">
            <w:pPr>
              <w:widowControl w:val="0"/>
              <w:spacing w:before="90" w:line="276" w:lineRule="auto"/>
              <w:ind w:right="315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Reference</w:t>
            </w:r>
          </w:p>
          <w:p w:rsidR="00000000" w:rsidDel="00000000" w:rsidP="00000000" w:rsidRDefault="00000000" w:rsidRPr="00000000" w14:paraId="0000007B">
            <w:pPr>
              <w:widowControl w:val="0"/>
              <w:numPr>
                <w:ilvl w:val="0"/>
                <w:numId w:val="1"/>
              </w:numPr>
              <w:spacing w:before="90" w:line="276" w:lineRule="auto"/>
              <w:ind w:left="720" w:right="1080" w:hanging="360"/>
              <w:jc w:val="both"/>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rtl w:val="0"/>
                </w:rPr>
                <w:t xml:space="preserve">Basri, Hasan.</w:t>
              </w:r>
            </w:hyperlink>
            <w:r w:rsidDel="00000000" w:rsidR="00000000" w:rsidRPr="00000000">
              <w:rPr>
                <w:rFonts w:ascii="Times New Roman" w:cs="Times New Roman" w:eastAsia="Times New Roman" w:hAnsi="Times New Roman"/>
                <w:rtl w:val="0"/>
              </w:rPr>
              <w:t xml:space="preserve"> 2013.</w:t>
            </w:r>
            <w:hyperlink r:id="rId10">
              <w:r w:rsidDel="00000000" w:rsidR="00000000" w:rsidRPr="00000000">
                <w:rPr>
                  <w:rFonts w:ascii="Times New Roman" w:cs="Times New Roman" w:eastAsia="Times New Roman" w:hAnsi="Times New Roman"/>
                  <w:rtl w:val="0"/>
                </w:rPr>
                <w:t xml:space="preserve"> </w:t>
              </w:r>
            </w:hyperlink>
            <w:hyperlink r:id="rId11">
              <w:r w:rsidDel="00000000" w:rsidR="00000000" w:rsidRPr="00000000">
                <w:rPr>
                  <w:rFonts w:ascii="Times New Roman" w:cs="Times New Roman" w:eastAsia="Times New Roman" w:hAnsi="Times New Roman"/>
                  <w:i w:val="1"/>
                  <w:rtl w:val="0"/>
                </w:rPr>
                <w:t xml:space="preserve">Landasan Pendidikan</w:t>
              </w:r>
            </w:hyperlink>
            <w:r w:rsidDel="00000000" w:rsidR="00000000" w:rsidRPr="00000000">
              <w:rPr>
                <w:rFonts w:ascii="Times New Roman" w:cs="Times New Roman" w:eastAsia="Times New Roman" w:hAnsi="Times New Roman"/>
                <w:rtl w:val="0"/>
              </w:rPr>
              <w:t xml:space="preserve">. Bandung: CV Pustaka Setia</w:t>
            </w:r>
          </w:p>
          <w:p w:rsidR="00000000" w:rsidDel="00000000" w:rsidP="00000000" w:rsidRDefault="00000000" w:rsidRPr="00000000" w14:paraId="0000007C">
            <w:pPr>
              <w:widowControl w:val="0"/>
              <w:numPr>
                <w:ilvl w:val="0"/>
                <w:numId w:val="1"/>
              </w:numPr>
              <w:spacing w:line="276" w:lineRule="auto"/>
              <w:ind w:left="720" w:right="1080" w:hanging="360"/>
              <w:jc w:val="both"/>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rtl w:val="0"/>
                </w:rPr>
                <w:t xml:space="preserve">Hasbullah.</w:t>
              </w:r>
            </w:hyperlink>
            <w:r w:rsidDel="00000000" w:rsidR="00000000" w:rsidRPr="00000000">
              <w:rPr>
                <w:rFonts w:ascii="Times New Roman" w:cs="Times New Roman" w:eastAsia="Times New Roman" w:hAnsi="Times New Roman"/>
                <w:rtl w:val="0"/>
              </w:rPr>
              <w:t xml:space="preserve"> 2013.</w:t>
            </w:r>
            <w:hyperlink r:id="rId13">
              <w:r w:rsidDel="00000000" w:rsidR="00000000" w:rsidRPr="00000000">
                <w:rPr>
                  <w:rFonts w:ascii="Times New Roman" w:cs="Times New Roman" w:eastAsia="Times New Roman" w:hAnsi="Times New Roman"/>
                  <w:rtl w:val="0"/>
                </w:rPr>
                <w:t xml:space="preserve"> </w:t>
              </w:r>
            </w:hyperlink>
            <w:hyperlink r:id="rId14">
              <w:r w:rsidDel="00000000" w:rsidR="00000000" w:rsidRPr="00000000">
                <w:rPr>
                  <w:rFonts w:ascii="Times New Roman" w:cs="Times New Roman" w:eastAsia="Times New Roman" w:hAnsi="Times New Roman"/>
                  <w:i w:val="1"/>
                  <w:rtl w:val="0"/>
                </w:rPr>
                <w:t xml:space="preserve">Dasar-dasar Ilmu Pendidikan</w:t>
              </w:r>
            </w:hyperlink>
            <w:r w:rsidDel="00000000" w:rsidR="00000000" w:rsidRPr="00000000">
              <w:rPr>
                <w:rFonts w:ascii="Times New Roman" w:cs="Times New Roman" w:eastAsia="Times New Roman" w:hAnsi="Times New Roman"/>
                <w:rtl w:val="0"/>
              </w:rPr>
              <w:t xml:space="preserve">. Jakarta: Rajawali Pers</w:t>
            </w:r>
          </w:p>
          <w:p w:rsidR="00000000" w:rsidDel="00000000" w:rsidP="00000000" w:rsidRDefault="00000000" w:rsidRPr="00000000" w14:paraId="0000007D">
            <w:pPr>
              <w:widowControl w:val="0"/>
              <w:numPr>
                <w:ilvl w:val="0"/>
                <w:numId w:val="1"/>
              </w:numPr>
              <w:spacing w:line="276" w:lineRule="auto"/>
              <w:ind w:left="720" w:right="1080" w:hanging="360"/>
              <w:jc w:val="both"/>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rtl w:val="0"/>
                </w:rPr>
                <w:t xml:space="preserve">Ihsan, Fuad.</w:t>
              </w:r>
            </w:hyperlink>
            <w:r w:rsidDel="00000000" w:rsidR="00000000" w:rsidRPr="00000000">
              <w:rPr>
                <w:rFonts w:ascii="Times New Roman" w:cs="Times New Roman" w:eastAsia="Times New Roman" w:hAnsi="Times New Roman"/>
                <w:rtl w:val="0"/>
              </w:rPr>
              <w:t xml:space="preserve"> 2011.</w:t>
            </w:r>
            <w:hyperlink r:id="rId16">
              <w:r w:rsidDel="00000000" w:rsidR="00000000" w:rsidRPr="00000000">
                <w:rPr>
                  <w:rFonts w:ascii="Times New Roman" w:cs="Times New Roman" w:eastAsia="Times New Roman" w:hAnsi="Times New Roman"/>
                  <w:rtl w:val="0"/>
                </w:rPr>
                <w:t xml:space="preserve"> </w:t>
              </w:r>
            </w:hyperlink>
            <w:hyperlink r:id="rId17">
              <w:r w:rsidDel="00000000" w:rsidR="00000000" w:rsidRPr="00000000">
                <w:rPr>
                  <w:rFonts w:ascii="Times New Roman" w:cs="Times New Roman" w:eastAsia="Times New Roman" w:hAnsi="Times New Roman"/>
                  <w:i w:val="1"/>
                  <w:rtl w:val="0"/>
                </w:rPr>
                <w:t xml:space="preserve">Dasar-Dasar Kependidikan</w:t>
              </w:r>
            </w:hyperlink>
            <w:r w:rsidDel="00000000" w:rsidR="00000000" w:rsidRPr="00000000">
              <w:rPr>
                <w:rFonts w:ascii="Times New Roman" w:cs="Times New Roman" w:eastAsia="Times New Roman" w:hAnsi="Times New Roman"/>
                <w:rtl w:val="0"/>
              </w:rPr>
              <w:t xml:space="preserve">. Jakarta: PT</w:t>
            </w:r>
          </w:p>
          <w:p w:rsidR="00000000" w:rsidDel="00000000" w:rsidP="00000000" w:rsidRDefault="00000000" w:rsidRPr="00000000" w14:paraId="0000007E">
            <w:pPr>
              <w:widowControl w:val="0"/>
              <w:numPr>
                <w:ilvl w:val="0"/>
                <w:numId w:val="1"/>
              </w:numPr>
              <w:spacing w:line="276" w:lineRule="auto"/>
              <w:ind w:left="720" w:right="1080" w:hanging="360"/>
              <w:jc w:val="both"/>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rtl w:val="0"/>
                </w:rPr>
                <w:t xml:space="preserve">Mudyahardjo, Redja.</w:t>
              </w:r>
            </w:hyperlink>
            <w:r w:rsidDel="00000000" w:rsidR="00000000" w:rsidRPr="00000000">
              <w:rPr>
                <w:rFonts w:ascii="Times New Roman" w:cs="Times New Roman" w:eastAsia="Times New Roman" w:hAnsi="Times New Roman"/>
                <w:rtl w:val="0"/>
              </w:rPr>
              <w:t xml:space="preserve"> 2011.</w:t>
            </w:r>
            <w:hyperlink r:id="rId19">
              <w:r w:rsidDel="00000000" w:rsidR="00000000" w:rsidRPr="00000000">
                <w:rPr>
                  <w:rFonts w:ascii="Times New Roman" w:cs="Times New Roman" w:eastAsia="Times New Roman" w:hAnsi="Times New Roman"/>
                  <w:rtl w:val="0"/>
                </w:rPr>
                <w:t xml:space="preserve"> </w:t>
              </w:r>
            </w:hyperlink>
            <w:hyperlink r:id="rId20">
              <w:r w:rsidDel="00000000" w:rsidR="00000000" w:rsidRPr="00000000">
                <w:rPr>
                  <w:rFonts w:ascii="Times New Roman" w:cs="Times New Roman" w:eastAsia="Times New Roman" w:hAnsi="Times New Roman"/>
                  <w:i w:val="1"/>
                  <w:rtl w:val="0"/>
                </w:rPr>
                <w:t xml:space="preserve">Pengantar Pendidikan</w:t>
              </w:r>
            </w:hyperlink>
            <w:r w:rsidDel="00000000" w:rsidR="00000000" w:rsidRPr="00000000">
              <w:rPr>
                <w:rFonts w:ascii="Times New Roman" w:cs="Times New Roman" w:eastAsia="Times New Roman" w:hAnsi="Times New Roman"/>
                <w:rtl w:val="0"/>
              </w:rPr>
              <w:t xml:space="preserve">. Jakarta: PT Rajagrafindo Persada</w:t>
            </w:r>
          </w:p>
          <w:p w:rsidR="00000000" w:rsidDel="00000000" w:rsidP="00000000" w:rsidRDefault="00000000" w:rsidRPr="00000000" w14:paraId="0000007F">
            <w:pPr>
              <w:widowControl w:val="0"/>
              <w:numPr>
                <w:ilvl w:val="0"/>
                <w:numId w:val="1"/>
              </w:numPr>
              <w:spacing w:line="276" w:lineRule="auto"/>
              <w:ind w:left="720" w:right="-510" w:hanging="360"/>
              <w:jc w:val="both"/>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rtl w:val="0"/>
                </w:rPr>
                <w:t xml:space="preserve">M.V. Roesminingsih dan Lamijan Hadi Susarno.</w:t>
              </w:r>
            </w:hyperlink>
            <w:r w:rsidDel="00000000" w:rsidR="00000000" w:rsidRPr="00000000">
              <w:rPr>
                <w:rFonts w:ascii="Times New Roman" w:cs="Times New Roman" w:eastAsia="Times New Roman" w:hAnsi="Times New Roman"/>
                <w:rtl w:val="0"/>
              </w:rPr>
              <w:t xml:space="preserve"> 2015.</w:t>
            </w:r>
            <w:hyperlink r:id="rId22">
              <w:r w:rsidDel="00000000" w:rsidR="00000000" w:rsidRPr="00000000">
                <w:rPr>
                  <w:rFonts w:ascii="Times New Roman" w:cs="Times New Roman" w:eastAsia="Times New Roman" w:hAnsi="Times New Roman"/>
                  <w:rtl w:val="0"/>
                </w:rPr>
                <w:t xml:space="preserve"> </w:t>
              </w:r>
            </w:hyperlink>
            <w:hyperlink r:id="rId23">
              <w:r w:rsidDel="00000000" w:rsidR="00000000" w:rsidRPr="00000000">
                <w:rPr>
                  <w:rFonts w:ascii="Times New Roman" w:cs="Times New Roman" w:eastAsia="Times New Roman" w:hAnsi="Times New Roman"/>
                  <w:i w:val="1"/>
                  <w:rtl w:val="0"/>
                </w:rPr>
                <w:t xml:space="preserve">Teori dan Praktek Pendidikan</w:t>
              </w:r>
            </w:hyperlink>
            <w:r w:rsidDel="00000000" w:rsidR="00000000" w:rsidRPr="00000000">
              <w:rPr>
                <w:rFonts w:ascii="Times New Roman" w:cs="Times New Roman" w:eastAsia="Times New Roman" w:hAnsi="Times New Roman"/>
                <w:rtl w:val="0"/>
              </w:rPr>
              <w:t xml:space="preserve">. Surabaya: Bintang Surabaya</w:t>
            </w:r>
          </w:p>
          <w:p w:rsidR="00000000" w:rsidDel="00000000" w:rsidP="00000000" w:rsidRDefault="00000000" w:rsidRPr="00000000" w14:paraId="00000080">
            <w:pPr>
              <w:widowControl w:val="0"/>
              <w:numPr>
                <w:ilvl w:val="0"/>
                <w:numId w:val="1"/>
              </w:numPr>
              <w:spacing w:line="276" w:lineRule="auto"/>
              <w:ind w:left="720" w:right="-510" w:hanging="360"/>
              <w:jc w:val="both"/>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rtl w:val="0"/>
                </w:rPr>
                <w:t xml:space="preserve">Sadulloh, Uyoh, dkk.</w:t>
              </w:r>
            </w:hyperlink>
            <w:r w:rsidDel="00000000" w:rsidR="00000000" w:rsidRPr="00000000">
              <w:rPr>
                <w:rFonts w:ascii="Times New Roman" w:cs="Times New Roman" w:eastAsia="Times New Roman" w:hAnsi="Times New Roman"/>
                <w:rtl w:val="0"/>
              </w:rPr>
              <w:t xml:space="preserve"> 2014.</w:t>
            </w:r>
            <w:hyperlink r:id="rId25">
              <w:r w:rsidDel="00000000" w:rsidR="00000000" w:rsidRPr="00000000">
                <w:rPr>
                  <w:rFonts w:ascii="Times New Roman" w:cs="Times New Roman" w:eastAsia="Times New Roman" w:hAnsi="Times New Roman"/>
                  <w:rtl w:val="0"/>
                </w:rPr>
                <w:t xml:space="preserve"> </w:t>
              </w:r>
            </w:hyperlink>
            <w:hyperlink r:id="rId26">
              <w:r w:rsidDel="00000000" w:rsidR="00000000" w:rsidRPr="00000000">
                <w:rPr>
                  <w:rFonts w:ascii="Times New Roman" w:cs="Times New Roman" w:eastAsia="Times New Roman" w:hAnsi="Times New Roman"/>
                  <w:i w:val="1"/>
                  <w:rtl w:val="0"/>
                </w:rPr>
                <w:t xml:space="preserve">Pedagogik (Ilmu Mendidik)</w:t>
              </w:r>
            </w:hyperlink>
            <w:r w:rsidDel="00000000" w:rsidR="00000000" w:rsidRPr="00000000">
              <w:rPr>
                <w:rFonts w:ascii="Times New Roman" w:cs="Times New Roman" w:eastAsia="Times New Roman" w:hAnsi="Times New Roman"/>
                <w:rtl w:val="0"/>
              </w:rPr>
              <w:t xml:space="preserve">. Bandung: Afabeta</w:t>
            </w:r>
          </w:p>
        </w:tc>
      </w:tr>
    </w:tbl>
    <w:p w:rsidR="00000000" w:rsidDel="00000000" w:rsidP="00000000" w:rsidRDefault="00000000" w:rsidRPr="00000000" w14:paraId="00000086">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search?q=Mudyahardjo%2C+Redja.+Pengantar+Pendidikan" TargetMode="External"/><Relationship Id="rId22" Type="http://schemas.openxmlformats.org/officeDocument/2006/relationships/hyperlink" Target="https://www.google.com/search?q=M.V.+Roesminingsih+dan+Lamijan+Hadi+Susarno.+Teori+dan+Praktek++Pendidikan" TargetMode="External"/><Relationship Id="rId21" Type="http://schemas.openxmlformats.org/officeDocument/2006/relationships/hyperlink" Target="https://www.google.com/search?q=M.V.+Roesminingsih+dan+Lamijan+Hadi+Susarno." TargetMode="External"/><Relationship Id="rId24" Type="http://schemas.openxmlformats.org/officeDocument/2006/relationships/hyperlink" Target="https://www.google.com/search?q=Sadulloh%2C+Uyoh%2C+dkk." TargetMode="External"/><Relationship Id="rId23" Type="http://schemas.openxmlformats.org/officeDocument/2006/relationships/hyperlink" Target="https://www.google.com/search?q=M.V.+Roesminingsih+dan+Lamijan+Hadi+Susarno.+Teori+dan+Praktek++Pendidik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search?q=Basri%2C+Hasan." TargetMode="External"/><Relationship Id="rId26" Type="http://schemas.openxmlformats.org/officeDocument/2006/relationships/hyperlink" Target="https://www.google.com/search?q=Sadulloh%2C+Uyoh%2C+dkk.+Pedagogik+%28Ilmu+Mendidik%29" TargetMode="External"/><Relationship Id="rId25" Type="http://schemas.openxmlformats.org/officeDocument/2006/relationships/hyperlink" Target="https://www.google.com/search?q=Sadulloh%2C+Uyoh%2C+dkk.+Pedagogik+%28Ilmu+Mendidik%2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g/" TargetMode="External"/><Relationship Id="rId8" Type="http://schemas.openxmlformats.org/officeDocument/2006/relationships/hyperlink" Target="http://s.ag/" TargetMode="External"/><Relationship Id="rId11" Type="http://schemas.openxmlformats.org/officeDocument/2006/relationships/hyperlink" Target="https://www.google.com/search?q=Basri%2C+Hasan.+Landasan+Pendidikan" TargetMode="External"/><Relationship Id="rId10" Type="http://schemas.openxmlformats.org/officeDocument/2006/relationships/hyperlink" Target="https://www.google.com/search?q=Basri%2C+Hasan.+Landasan+Pendidikan" TargetMode="External"/><Relationship Id="rId13" Type="http://schemas.openxmlformats.org/officeDocument/2006/relationships/hyperlink" Target="https://www.google.com/search?q=Hasbullah.+Dasar-dasar+Ilmu+Pendidikan" TargetMode="External"/><Relationship Id="rId12" Type="http://schemas.openxmlformats.org/officeDocument/2006/relationships/hyperlink" Target="https://www.google.com/search?q=Hasbullah." TargetMode="External"/><Relationship Id="rId15" Type="http://schemas.openxmlformats.org/officeDocument/2006/relationships/hyperlink" Target="https://www.google.com/search?q=Ihsan%2C+Fuad." TargetMode="External"/><Relationship Id="rId14" Type="http://schemas.openxmlformats.org/officeDocument/2006/relationships/hyperlink" Target="https://www.google.com/search?q=Hasbullah.+Dasar-dasar+Ilmu+Pendidikan" TargetMode="External"/><Relationship Id="rId17" Type="http://schemas.openxmlformats.org/officeDocument/2006/relationships/hyperlink" Target="https://www.google.com/search?q=Ihsan%2C+Fuad.+Dasar-Dasar+Kependidikan" TargetMode="External"/><Relationship Id="rId16" Type="http://schemas.openxmlformats.org/officeDocument/2006/relationships/hyperlink" Target="https://www.google.com/search?q=Ihsan%2C+Fuad.+Dasar-Dasar+Kependidikan" TargetMode="External"/><Relationship Id="rId19" Type="http://schemas.openxmlformats.org/officeDocument/2006/relationships/hyperlink" Target="https://www.google.com/search?q=Mudyahardjo%2C+Redja.+Pengantar+Pendidikan" TargetMode="External"/><Relationship Id="rId18" Type="http://schemas.openxmlformats.org/officeDocument/2006/relationships/hyperlink" Target="https://www.google.com/search?q=Mudyahardjo%2C+Red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vhn6gPS5VFRmA6rYAZHUqQC6rQ==">CgMxLjAyCGguZ2pkZ3hzMg5oLjVpcjg1cDEydTZmdjgAciExanZGemxTNTNsU3FsZ2l5X1d1YWJUa2RJd2prM01TdXc=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