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MODULE/COURSE HANDBOOK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050"/>
        <w:gridCol w:w="1665"/>
        <w:gridCol w:w="1590"/>
        <w:gridCol w:w="1575"/>
        <w:gridCol w:w="1875"/>
        <w:gridCol w:w="1860"/>
        <w:tblGridChange w:id="0">
          <w:tblGrid>
            <w:gridCol w:w="570"/>
            <w:gridCol w:w="1050"/>
            <w:gridCol w:w="1665"/>
            <w:gridCol w:w="1590"/>
            <w:gridCol w:w="1575"/>
            <w:gridCol w:w="1875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Style w:val="Heading1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Management of Early Childhood Education Centers (TPA)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]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Module/Course Title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Management of Early Childhood Education Centers (TPA)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 Workload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Credits x 16 meetings x 170 /60 = 90, 6 hours/Semester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 (ECTS)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Credits x 1.59 = 3,18 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Year 3/1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Frequency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meetings (include Mid-term Exam and Final Exam)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Duration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meetings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 of course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Compulsory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Contact hours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50/170 x 28,48 x (2 Credits x 1.59) = 26,64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Structured Assignment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60/170 x 28,48 x (2 Credits x 1.59) = 32,0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Independent study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60/170 x 28,48 x (2 Credits x 1.59) = 32,0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 size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 students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Prerequisites for participation (if applicable)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outcomes (PLO+CLO)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Possess leadership, managerial, and networking skills in the holistic and integrative organization of early childhood education.(GC-2)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Take responsibility for tasks within their expertise with honesty, independence, and resilience in resolving issues in the field of early childhood education while upholding high academic ethics.(AT-1)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Mastering the curriculum, learning theories, instructional models, and assessment of early childhood in managing the implementation of early childhood education. (KN-1)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are capable of mastering the management aspects of operating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Early Childhood Education Centers (TPA)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(GC-2)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analyze the management of a playgroup institution in accordance with theories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Early Childhood Education Centers (TPA)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management. (AT-1)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apply logical, critical, and systematic thinking in addressing issues and problem-solving within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Early Childhood Education Centers (TPA)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institutions. (KN-1)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Subject aims/content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course examines the concepts of organization, evaluation, reporting, and guidance in early childhood education institutions including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Early Childhood Education Centers (TPA).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course utilizes science and technology (IPTEKS) in the learning process. During the learning process, students are taught to solve emerging problems with a sense of responsibility, cooperation, and good ethics. They are also trained to adapt to the early childhood education institution's environment. Teaching strategies include discussions, lectures, inquiry, and scientific methods.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Teaching methods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PJBL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Assessment methods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 Paper, Demonstration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This module is used in the following study program/s as well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Module Coordinator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Sri Setyowati, M.Pd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Curtis, Deb and Margie Carter. 2008. Leaning together with young children. United states : Redleaf Press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Eliason, Claudia and Loa Jenkins . 2008. A Practical Guide to Early Childhood Curriculum. USA: Pearson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Jackman, Hilda L. 2009. Early Education Curriculum 13 A child 19s Connection to the world. USA: Delmar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Santrock, John W. 2011. Masa Perkembangan Anak. Jakarta: Salemba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Herr, Judy and Yvonne Libby Larson . 2004. Creative Resources for the Early Childhood Classroom. USA: Delmar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Robertson, Cathie. 2003. Safety Nutrition and Health in Early Education. Canada : Delmar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Juknis Penyelenggaraan TK/RA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Juknis Penyelenggaraan KB/BA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Juknis Penyelenggaraan TPA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Juknis Penyelenggaraan POS PAUD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Stacey, Susan. 2009. Emergent Curriculum in Early Childhood Settings. USA: Redleaf Press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Berk, Laura E. 2006. Child Development. USA: Pearson</w:t>
            </w:r>
          </w:p>
        </w:tc>
      </w:tr>
    </w:tbl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9ll5dLkJSYfGUOk6yz54EMhcIQ==">CgMxLjAyCGguZ2pkZ3hzOAByITF3akctYjdTWTdialU2TDkzMU5td0lwbG1YNEp6U2RDag==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