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1110"/>
        <w:gridCol w:w="1605"/>
        <w:gridCol w:w="1590"/>
        <w:gridCol w:w="1575"/>
        <w:gridCol w:w="1875"/>
        <w:gridCol w:w="1860"/>
        <w:tblGridChange w:id="0">
          <w:tblGrid>
            <w:gridCol w:w="570"/>
            <w:gridCol w:w="1110"/>
            <w:gridCol w:w="1605"/>
            <w:gridCol w:w="1590"/>
            <w:gridCol w:w="1575"/>
            <w:gridCol w:w="1875"/>
            <w:gridCol w:w="1860"/>
          </w:tblGrid>
        </w:tblGridChange>
      </w:tblGrid>
      <w:tr>
        <w:trPr>
          <w:cantSplit w:val="0"/>
          <w:trHeight w:val="42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02">
            <w:pPr>
              <w:pStyle w:val="Heading1"/>
              <w:widowControl w:val="0"/>
              <w:spacing w:before="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color w:val="1f1f1f"/>
                <w:sz w:val="22"/>
                <w:szCs w:val="22"/>
                <w:highlight w:val="white"/>
                <w:rtl w:val="0"/>
              </w:rPr>
              <w:t xml:space="preserve">Character of Early Childhood Educators</w:t>
            </w:r>
            <w:r w:rsidDel="00000000" w:rsidR="00000000" w:rsidRPr="00000000">
              <w:rPr>
                <w:rFonts w:ascii="Times New Roman" w:cs="Times New Roman" w:eastAsia="Times New Roman" w:hAnsi="Times New Roman"/>
                <w:color w:val="000000"/>
                <w:sz w:val="22"/>
                <w:szCs w:val="22"/>
                <w:rtl w:val="0"/>
              </w:rPr>
              <w:t xml:space="preserve">]</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Module/Course Title</w:t>
            </w:r>
          </w:p>
          <w:p w:rsidR="00000000" w:rsidDel="00000000" w:rsidP="00000000" w:rsidRDefault="00000000" w:rsidRPr="00000000" w14:paraId="0000000A">
            <w:pPr>
              <w:pStyle w:val="Heading1"/>
              <w:widowControl w:val="0"/>
              <w:spacing w:before="0" w:lineRule="auto"/>
              <w:rPr>
                <w:rFonts w:ascii="Times New Roman" w:cs="Times New Roman" w:eastAsia="Times New Roman" w:hAnsi="Times New Roman"/>
              </w:rPr>
            </w:pPr>
            <w:bookmarkStart w:colFirst="0" w:colLast="0" w:name="_heading=h.dvjcbv85ezry" w:id="0"/>
            <w:bookmarkEnd w:id="0"/>
            <w:r w:rsidDel="00000000" w:rsidR="00000000" w:rsidRPr="00000000">
              <w:rPr>
                <w:rFonts w:ascii="Times New Roman" w:cs="Times New Roman" w:eastAsia="Times New Roman" w:hAnsi="Times New Roman"/>
                <w:color w:val="1f1f1f"/>
                <w:sz w:val="22"/>
                <w:szCs w:val="22"/>
                <w:highlight w:val="white"/>
                <w:rtl w:val="0"/>
              </w:rPr>
              <w:t xml:space="preserve">Character of Early Childhood Educators</w:t>
            </w:r>
            <w:r w:rsidDel="00000000" w:rsidR="00000000" w:rsidRPr="00000000">
              <w:rPr>
                <w:rtl w:val="0"/>
              </w:rPr>
            </w:r>
          </w:p>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Workload</w:t>
            </w:r>
            <w:r w:rsidDel="00000000" w:rsidR="00000000" w:rsidRPr="00000000">
              <w:rPr>
                <w:rtl w:val="0"/>
              </w:rPr>
            </w:r>
          </w:p>
          <w:p w:rsidR="00000000" w:rsidDel="00000000" w:rsidP="00000000" w:rsidRDefault="00000000" w:rsidRPr="00000000" w14:paraId="0000000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16 meetings x 170 /60 = 90, 6 hours/Semester</w:t>
            </w:r>
          </w:p>
          <w:p w:rsidR="00000000" w:rsidDel="00000000" w:rsidP="00000000" w:rsidRDefault="00000000" w:rsidRPr="00000000" w14:paraId="0000000F">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Credits (ECTS)</w:t>
            </w:r>
            <w:r w:rsidDel="00000000" w:rsidR="00000000" w:rsidRPr="00000000">
              <w:rPr>
                <w:rtl w:val="0"/>
              </w:rPr>
            </w:r>
          </w:p>
          <w:p w:rsidR="00000000" w:rsidDel="00000000" w:rsidP="00000000" w:rsidRDefault="00000000" w:rsidRPr="00000000" w14:paraId="0000001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1.59 = 3,18 ECTS</w:t>
            </w:r>
          </w:p>
          <w:p w:rsidR="00000000" w:rsidDel="00000000" w:rsidP="00000000" w:rsidRDefault="00000000" w:rsidRPr="00000000" w14:paraId="0000001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Semester</w:t>
            </w:r>
            <w:r w:rsidDel="00000000" w:rsidR="00000000" w:rsidRPr="00000000">
              <w:rPr>
                <w:rtl w:val="0"/>
              </w:rPr>
            </w:r>
          </w:p>
          <w:p w:rsidR="00000000" w:rsidDel="00000000" w:rsidP="00000000" w:rsidRDefault="00000000" w:rsidRPr="00000000" w14:paraId="0000001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1 / 2</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Frequency</w:t>
            </w:r>
            <w:r w:rsidDel="00000000" w:rsidR="00000000" w:rsidRPr="00000000">
              <w:rPr>
                <w:rtl w:val="0"/>
              </w:rPr>
            </w:r>
          </w:p>
          <w:p w:rsidR="00000000" w:rsidDel="00000000" w:rsidP="00000000" w:rsidRDefault="00000000" w:rsidRPr="00000000" w14:paraId="0000001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 (include Mid-term Exam and Final Exam)</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Duration</w:t>
            </w:r>
            <w:r w:rsidDel="00000000" w:rsidR="00000000" w:rsidRPr="00000000">
              <w:rPr>
                <w:rtl w:val="0"/>
              </w:rPr>
            </w:r>
          </w:p>
          <w:p w:rsidR="00000000" w:rsidDel="00000000" w:rsidP="00000000" w:rsidRDefault="00000000" w:rsidRPr="00000000" w14:paraId="0000001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w:t>
            </w:r>
          </w:p>
          <w:p w:rsidR="00000000" w:rsidDel="00000000" w:rsidP="00000000" w:rsidRDefault="00000000" w:rsidRPr="00000000" w14:paraId="0000001B">
            <w:pPr>
              <w:widowControl w:val="0"/>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shd w:fill="auto" w:val="clear"/>
            <w:tcMar>
              <w:top w:w="100.0" w:type="dxa"/>
              <w:left w:w="100.0" w:type="dxa"/>
              <w:bottom w:w="100.0" w:type="dxa"/>
              <w:right w:w="100.0" w:type="dxa"/>
            </w:tcMar>
          </w:tcPr>
          <w:p w:rsidR="00000000" w:rsidDel="00000000" w:rsidP="00000000" w:rsidRDefault="00000000" w:rsidRPr="00000000" w14:paraId="0000001D">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course</w:t>
            </w:r>
          </w:p>
          <w:p w:rsidR="00000000" w:rsidDel="00000000" w:rsidP="00000000" w:rsidRDefault="00000000" w:rsidRPr="00000000" w14:paraId="0000001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Compulsory</w:t>
            </w:r>
          </w:p>
          <w:p w:rsidR="00000000" w:rsidDel="00000000" w:rsidP="00000000" w:rsidRDefault="00000000" w:rsidRPr="00000000" w14:paraId="0000001F">
            <w:pPr>
              <w:widowControl w:val="0"/>
              <w:ind w:left="720" w:firstLine="0"/>
              <w:rPr>
                <w:rFonts w:ascii="Times New Roman" w:cs="Times New Roman" w:eastAsia="Times New Roman" w:hAnsi="Times New Roman"/>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2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 hours</w:t>
            </w:r>
            <w:r w:rsidDel="00000000" w:rsidR="00000000" w:rsidRPr="00000000">
              <w:rPr>
                <w:rtl w:val="0"/>
              </w:rPr>
            </w:r>
          </w:p>
          <w:p w:rsidR="00000000" w:rsidDel="00000000" w:rsidP="00000000" w:rsidRDefault="00000000" w:rsidRPr="00000000" w14:paraId="0000002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50/170 x 28,48 x (2 Credits x 1.59) = 26,64</w:t>
            </w:r>
          </w:p>
          <w:p w:rsidR="00000000" w:rsidDel="00000000" w:rsidP="00000000" w:rsidRDefault="00000000" w:rsidRPr="00000000" w14:paraId="00000023">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Structured Assignment</w:t>
            </w:r>
          </w:p>
          <w:p w:rsidR="00000000" w:rsidDel="00000000" w:rsidP="00000000" w:rsidRDefault="00000000" w:rsidRPr="00000000" w14:paraId="0000002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p>
          <w:p w:rsidR="00000000" w:rsidDel="00000000" w:rsidP="00000000" w:rsidRDefault="00000000" w:rsidRPr="00000000" w14:paraId="00000026">
            <w:pPr>
              <w:widowControl w:val="0"/>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 study</w:t>
            </w:r>
            <w:r w:rsidDel="00000000" w:rsidR="00000000" w:rsidRPr="00000000">
              <w:rPr>
                <w:rtl w:val="0"/>
              </w:rPr>
            </w:r>
          </w:p>
          <w:p w:rsidR="00000000" w:rsidDel="00000000" w:rsidP="00000000" w:rsidRDefault="00000000" w:rsidRPr="00000000" w14:paraId="0000002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p>
          <w:p w:rsidR="00000000" w:rsidDel="00000000" w:rsidP="00000000" w:rsidRDefault="00000000" w:rsidRPr="00000000" w14:paraId="0000002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C">
            <w:pPr>
              <w:widowControl w:val="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Class size</w:t>
            </w:r>
            <w:r w:rsidDel="00000000" w:rsidR="00000000" w:rsidRPr="00000000">
              <w:rPr>
                <w:rtl w:val="0"/>
              </w:rPr>
            </w:r>
          </w:p>
          <w:p w:rsidR="00000000" w:rsidDel="00000000" w:rsidP="00000000" w:rsidRDefault="00000000" w:rsidRPr="00000000" w14:paraId="0000002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students</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6"/>
            <w:shd w:fill="auto" w:val="clear"/>
            <w:tcMar>
              <w:top w:w="100.0" w:type="dxa"/>
              <w:left w:w="100.0" w:type="dxa"/>
              <w:bottom w:w="100.0" w:type="dxa"/>
              <w:right w:w="100.0" w:type="dxa"/>
            </w:tcMar>
          </w:tcPr>
          <w:p w:rsidR="00000000" w:rsidDel="00000000" w:rsidP="00000000" w:rsidRDefault="00000000" w:rsidRPr="00000000" w14:paraId="0000003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Prequisites for participation (if applicable)</w:t>
            </w:r>
          </w:p>
          <w:p w:rsidR="00000000" w:rsidDel="00000000" w:rsidP="00000000" w:rsidRDefault="00000000" w:rsidRPr="00000000" w14:paraId="0000003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6"/>
            <w:shd w:fill="auto" w:val="clear"/>
            <w:tcMar>
              <w:top w:w="100.0" w:type="dxa"/>
              <w:left w:w="100.0" w:type="dxa"/>
              <w:bottom w:w="100.0" w:type="dxa"/>
              <w:right w:w="100.0" w:type="dxa"/>
            </w:tcMar>
          </w:tcPr>
          <w:p w:rsidR="00000000" w:rsidDel="00000000" w:rsidP="00000000" w:rsidRDefault="00000000" w:rsidRPr="00000000" w14:paraId="0000003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Learning outcomes (PLO+CLO)</w:t>
            </w:r>
            <w:r w:rsidDel="00000000" w:rsidR="00000000" w:rsidRPr="00000000">
              <w:rPr>
                <w:rtl w:val="0"/>
              </w:rPr>
            </w:r>
          </w:p>
          <w:p w:rsidR="00000000" w:rsidDel="00000000" w:rsidP="00000000" w:rsidRDefault="00000000" w:rsidRPr="00000000" w14:paraId="00000039">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PLO (Program Learning Outcomes)</w:t>
            </w:r>
          </w:p>
          <w:p w:rsidR="00000000" w:rsidDel="00000000" w:rsidP="00000000" w:rsidRDefault="00000000" w:rsidRPr="00000000" w14:paraId="0000003A">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responsibility for tasks within their expertise with honesty, independence, and resilience in resolving issues in the field of early childhood education while upholding high academic ethics. (AT-1)</w:t>
            </w:r>
          </w:p>
          <w:p w:rsidR="00000000" w:rsidDel="00000000" w:rsidP="00000000" w:rsidRDefault="00000000" w:rsidRPr="00000000" w14:paraId="0000003B">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Possess leadership, managerial, and networking skills in the holistic and integrative organization of early childhood education. (GC-2)</w:t>
            </w:r>
          </w:p>
          <w:p w:rsidR="00000000" w:rsidDel="00000000" w:rsidP="00000000" w:rsidRDefault="00000000" w:rsidRPr="00000000" w14:paraId="0000003C">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make appropriate decisions based on analysis of information and data, and able to provide guidance in selecting various alternative solutions in the implementation of early childhood education. (SC-3)</w:t>
            </w:r>
          </w:p>
          <w:p w:rsidR="00000000" w:rsidDel="00000000" w:rsidP="00000000" w:rsidRDefault="00000000" w:rsidRPr="00000000" w14:paraId="0000003D">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 (Course Learning Outcomes):</w:t>
            </w:r>
          </w:p>
          <w:p w:rsidR="00000000" w:rsidDel="00000000" w:rsidP="00000000" w:rsidRDefault="00000000" w:rsidRPr="00000000" w14:paraId="0000003F">
            <w:pPr>
              <w:widowControl w:val="0"/>
              <w:numPr>
                <w:ilvl w:val="0"/>
                <w:numId w:val="1"/>
              </w:numPr>
              <w:spacing w:after="0" w:afterAutospacing="0"/>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 strong sense of responsibility in the field of early childhood education, exhibiting honesty, independence, and resilience when faced with challenges. (AT-1)  </w:t>
            </w:r>
          </w:p>
          <w:p w:rsidR="00000000" w:rsidDel="00000000" w:rsidP="00000000" w:rsidRDefault="00000000" w:rsidRPr="00000000" w14:paraId="00000040">
            <w:pPr>
              <w:widowControl w:val="0"/>
              <w:numPr>
                <w:ilvl w:val="0"/>
                <w:numId w:val="1"/>
              </w:numPr>
              <w:spacing w:after="0" w:afterAutospacing="0"/>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Acquire leadership and managerial skills essential for effectively organizing and leading early childhood education programs.  (GC-2) </w:t>
            </w:r>
          </w:p>
          <w:p w:rsidR="00000000" w:rsidDel="00000000" w:rsidP="00000000" w:rsidRDefault="00000000" w:rsidRPr="00000000" w14:paraId="00000041">
            <w:pPr>
              <w:widowControl w:val="0"/>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the skills to make informed and appropriate decisions, providing guidance and support for selecting alternative solutions in the implementation of early childhood education programs. (SC-3)</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gridSpan w:val="6"/>
            <w:shd w:fill="auto" w:val="clear"/>
            <w:tcMar>
              <w:top w:w="100.0" w:type="dxa"/>
              <w:left w:w="100.0" w:type="dxa"/>
              <w:bottom w:w="100.0" w:type="dxa"/>
              <w:right w:w="100.0" w:type="dxa"/>
            </w:tcMar>
          </w:tcPr>
          <w:p w:rsidR="00000000" w:rsidDel="00000000" w:rsidP="00000000" w:rsidRDefault="00000000" w:rsidRPr="00000000" w14:paraId="0000004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Subject aims/content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widowControl w:val="0"/>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Assessment of ethics and character as a teacher, especially as an early childhood education teacher, through understanding of personal and social competence, appropriate and effective communication as an early childhood education teacher, both towards students, colleagues, parents, and the surrounding environment</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gridSpan w:val="6"/>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Teaching methods </w:t>
            </w:r>
          </w:p>
          <w:p w:rsidR="00000000" w:rsidDel="00000000" w:rsidP="00000000" w:rsidRDefault="00000000" w:rsidRPr="00000000" w14:paraId="0000005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Case Study</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gridSpan w:val="6"/>
            <w:shd w:fill="auto" w:val="clear"/>
            <w:tcMar>
              <w:top w:w="100.0" w:type="dxa"/>
              <w:left w:w="100.0" w:type="dxa"/>
              <w:bottom w:w="100.0" w:type="dxa"/>
              <w:right w:w="100.0" w:type="dxa"/>
            </w:tcMar>
          </w:tcPr>
          <w:p w:rsidR="00000000" w:rsidDel="00000000" w:rsidP="00000000" w:rsidRDefault="00000000" w:rsidRPr="00000000" w14:paraId="0000005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methods</w:t>
            </w:r>
          </w:p>
          <w:p w:rsidR="00000000" w:rsidDel="00000000" w:rsidP="00000000" w:rsidRDefault="00000000" w:rsidRPr="00000000" w14:paraId="0000005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 Paper, Portofolio</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6"/>
            <w:shd w:fill="auto" w:val="clear"/>
            <w:tcMar>
              <w:top w:w="100.0" w:type="dxa"/>
              <w:left w:w="100.0" w:type="dxa"/>
              <w:bottom w:w="100.0" w:type="dxa"/>
              <w:right w:w="100.0" w:type="dxa"/>
            </w:tcMar>
          </w:tcPr>
          <w:p w:rsidR="00000000" w:rsidDel="00000000" w:rsidP="00000000" w:rsidRDefault="00000000" w:rsidRPr="00000000" w14:paraId="0000006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module is used in the following study program/s as well</w:t>
            </w:r>
          </w:p>
          <w:p w:rsidR="00000000" w:rsidDel="00000000" w:rsidP="00000000" w:rsidRDefault="00000000" w:rsidRPr="00000000" w14:paraId="0000006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gridSpan w:val="6"/>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Coordinator</w:t>
            </w:r>
          </w:p>
          <w:p w:rsidR="00000000" w:rsidDel="00000000" w:rsidP="00000000" w:rsidRDefault="00000000" w:rsidRPr="00000000" w14:paraId="00000069">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Sri Setyowati, M.Pd</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gridSpan w:val="6"/>
            <w:shd w:fill="auto" w:val="clear"/>
            <w:tcMar>
              <w:top w:w="100.0" w:type="dxa"/>
              <w:left w:w="100.0" w:type="dxa"/>
              <w:bottom w:w="100.0" w:type="dxa"/>
              <w:right w:w="100.0" w:type="dxa"/>
            </w:tcMar>
          </w:tcPr>
          <w:p w:rsidR="00000000" w:rsidDel="00000000" w:rsidP="00000000" w:rsidRDefault="00000000" w:rsidRPr="00000000" w14:paraId="0000007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Reference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1">
            <w:pPr>
              <w:widowControl w:val="0"/>
              <w:numPr>
                <w:ilvl w:val="0"/>
                <w:numId w:val="3"/>
              </w:numPr>
              <w:spacing w:after="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Chatib, Munif. 2009. Sekolahnya Manusia. Kaifa, Bandung.</w:t>
            </w:r>
            <w:r w:rsidDel="00000000" w:rsidR="00000000" w:rsidRPr="00000000">
              <w:rPr>
                <w:rtl w:val="0"/>
              </w:rPr>
            </w:r>
          </w:p>
          <w:p w:rsidR="00000000" w:rsidDel="00000000" w:rsidP="00000000" w:rsidRDefault="00000000" w:rsidRPr="00000000" w14:paraId="00000072">
            <w:pPr>
              <w:widowControl w:val="0"/>
              <w:numPr>
                <w:ilvl w:val="0"/>
                <w:numId w:val="3"/>
              </w:numPr>
              <w:spacing w:after="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 2012. Orangtuanya Manusia. Kaifa, Bandung.</w:t>
            </w:r>
            <w:r w:rsidDel="00000000" w:rsidR="00000000" w:rsidRPr="00000000">
              <w:rPr>
                <w:rtl w:val="0"/>
              </w:rPr>
            </w:r>
          </w:p>
          <w:p w:rsidR="00000000" w:rsidDel="00000000" w:rsidP="00000000" w:rsidRDefault="00000000" w:rsidRPr="00000000" w14:paraId="00000073">
            <w:pPr>
              <w:widowControl w:val="0"/>
              <w:numPr>
                <w:ilvl w:val="0"/>
                <w:numId w:val="3"/>
              </w:numPr>
              <w:spacing w:after="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 2014. Gurunya Manusia. Kaifa, Bandung.</w:t>
            </w:r>
            <w:r w:rsidDel="00000000" w:rsidR="00000000" w:rsidRPr="00000000">
              <w:rPr>
                <w:rtl w:val="0"/>
              </w:rPr>
            </w:r>
          </w:p>
          <w:p w:rsidR="00000000" w:rsidDel="00000000" w:rsidP="00000000" w:rsidRDefault="00000000" w:rsidRPr="00000000" w14:paraId="00000074">
            <w:pPr>
              <w:widowControl w:val="0"/>
              <w:numPr>
                <w:ilvl w:val="0"/>
                <w:numId w:val="3"/>
              </w:numPr>
              <w:spacing w:after="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 2015. Kelasnya Manusia. Kaifa, Bandung.</w:t>
            </w:r>
            <w:r w:rsidDel="00000000" w:rsidR="00000000" w:rsidRPr="00000000">
              <w:rPr>
                <w:rtl w:val="0"/>
              </w:rPr>
            </w:r>
          </w:p>
          <w:p w:rsidR="00000000" w:rsidDel="00000000" w:rsidP="00000000" w:rsidRDefault="00000000" w:rsidRPr="00000000" w14:paraId="00000075">
            <w:pPr>
              <w:widowControl w:val="0"/>
              <w:numPr>
                <w:ilvl w:val="0"/>
                <w:numId w:val="3"/>
              </w:numPr>
              <w:spacing w:after="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 2017. Semua Anak Bintang. Kaifa, Bandung.</w:t>
            </w:r>
            <w:r w:rsidDel="00000000" w:rsidR="00000000" w:rsidRPr="00000000">
              <w:rPr>
                <w:rtl w:val="0"/>
              </w:rPr>
            </w:r>
          </w:p>
          <w:p w:rsidR="00000000" w:rsidDel="00000000" w:rsidP="00000000" w:rsidRDefault="00000000" w:rsidRPr="00000000" w14:paraId="00000076">
            <w:pPr>
              <w:widowControl w:val="0"/>
              <w:numPr>
                <w:ilvl w:val="0"/>
                <w:numId w:val="3"/>
              </w:numPr>
              <w:spacing w:after="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Hartini, Nurul. 2011. Pendidikan Karakter dalam Perspektif Guru. Selaras. Malang Sentanu,</w:t>
            </w:r>
            <w:r w:rsidDel="00000000" w:rsidR="00000000" w:rsidRPr="00000000">
              <w:rPr>
                <w:rtl w:val="0"/>
              </w:rPr>
            </w:r>
          </w:p>
          <w:p w:rsidR="00000000" w:rsidDel="00000000" w:rsidP="00000000" w:rsidRDefault="00000000" w:rsidRPr="00000000" w14:paraId="00000077">
            <w:pPr>
              <w:widowControl w:val="0"/>
              <w:numPr>
                <w:ilvl w:val="0"/>
                <w:numId w:val="3"/>
              </w:numPr>
              <w:spacing w:after="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Erbe. 2017. Karakter 360. Elex Media Komputindo. Jakarta.</w:t>
            </w:r>
            <w:r w:rsidDel="00000000" w:rsidR="00000000" w:rsidRPr="00000000">
              <w:rPr>
                <w:rtl w:val="0"/>
              </w:rPr>
            </w:r>
          </w:p>
          <w:p w:rsidR="00000000" w:rsidDel="00000000" w:rsidP="00000000" w:rsidRDefault="00000000" w:rsidRPr="00000000" w14:paraId="00000078">
            <w:pPr>
              <w:widowControl w:val="0"/>
              <w:numPr>
                <w:ilvl w:val="0"/>
                <w:numId w:val="3"/>
              </w:numPr>
              <w:spacing w:after="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Wibowo, Agus. 2012. Strategi Membangun Karakter Bangsa Berperadaban. Pustaka Pelajar. Yogyakarta.</w:t>
            </w:r>
            <w:r w:rsidDel="00000000" w:rsidR="00000000" w:rsidRPr="00000000">
              <w:rPr>
                <w:rtl w:val="0"/>
              </w:rPr>
            </w:r>
          </w:p>
          <w:p w:rsidR="00000000" w:rsidDel="00000000" w:rsidP="00000000" w:rsidRDefault="00000000" w:rsidRPr="00000000" w14:paraId="00000079">
            <w:pPr>
              <w:widowControl w:val="0"/>
              <w:numPr>
                <w:ilvl w:val="0"/>
                <w:numId w:val="3"/>
              </w:numPr>
              <w:spacing w:after="24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Saondi, Ondi dan Aris Suherman. 2010. Etika Profesi Keguruan. Bandung: PT Refika Aditama</w:t>
            </w: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E3126"/>
    <w:rPr>
      <w:rFonts w:ascii="Calibri" w:cs="Calibri" w:eastAsia="Calibri" w:hAnsi="Calibri"/>
      <w:kern w:val="0"/>
      <w:lang w:eastAsia="en-ID" w:val="en-ID"/>
    </w:rPr>
  </w:style>
  <w:style w:type="paragraph" w:styleId="Heading1">
    <w:name w:val="heading 1"/>
    <w:basedOn w:val="Normal"/>
    <w:next w:val="Normal"/>
    <w:link w:val="Heading1Char"/>
    <w:uiPriority w:val="9"/>
    <w:qFormat w:val="1"/>
    <w:rsid w:val="001E3126"/>
    <w:pPr>
      <w:keepNext w:val="1"/>
      <w:keepLines w:val="1"/>
      <w:spacing w:after="0" w:before="240"/>
      <w:outlineLvl w:val="0"/>
    </w:pPr>
    <w:rPr>
      <w:color w:val="2f5496"/>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E3126"/>
    <w:rPr>
      <w:rFonts w:ascii="Calibri" w:cs="Calibri" w:eastAsia="Calibri" w:hAnsi="Calibri"/>
      <w:color w:val="2f5496"/>
      <w:kern w:val="0"/>
      <w:sz w:val="32"/>
      <w:szCs w:val="32"/>
      <w:lang w:eastAsia="en-ID" w:val="en-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a3i9kf+x5AVrVhbCHvftb3Aa+w==">CgMxLjAyDmguZHZqY2J2ODVlenJ5OAByITF6WlJSRFpLZGgzQml6Y1ZtYW1jMjYzeVpUaDhHQ25EZg==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2023-09-07T06:55:00Z</dcterms:created>
  <dc:creator>FIP Unesa</dc:creator>
</cp:coreProperties>
</file>