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MODULE/COURSE HANDBOOK </w:t>
      </w:r>
    </w:p>
    <w:tbl>
      <w:tblPr>
        <w:tblStyle w:val="Table1"/>
        <w:tblW w:w="101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1095"/>
        <w:gridCol w:w="1620"/>
        <w:gridCol w:w="1590"/>
        <w:gridCol w:w="1575"/>
        <w:gridCol w:w="1875"/>
        <w:gridCol w:w="1860"/>
        <w:tblGridChange w:id="0">
          <w:tblGrid>
            <w:gridCol w:w="570"/>
            <w:gridCol w:w="1095"/>
            <w:gridCol w:w="1620"/>
            <w:gridCol w:w="1590"/>
            <w:gridCol w:w="1575"/>
            <w:gridCol w:w="1875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pStyle w:val="Heading1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Religious Education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Module/Course Title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widowControl w:val="0"/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uzu2lo6ih2e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Religious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Student Workload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Credits x 16 meetings x 170 /60 = 90,67 hours/Semester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Credits (ECTS)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Credits x 1.59 = 3,18 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Semester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Year 1/1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Frequency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meetings (include Mid-term Exam and Final Exam)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Duration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meetings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Type of course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Compulsory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Contact hours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50/170 x 28,48 x (2 Credits x 1.59) = 26,64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Structured Assignment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60/170 x 28,48 x (2 Credits x 1.59) = 32,0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Independent study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60/170 x 28,48 x (2 Credits x 1.59) = 32,0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 size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 students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Prequisites for participation (if applicable)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Learning outcomes (PLO+CLO)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PLO (Program Learning Outcome):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Take responsibility for their work according to their expertise with honesty, independence, and resilience in problem-solving in the field of early childhood education while upholding academic ethics. (AT-1)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CLO (Course Learning Outcome):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Mastering the theoretical concepts / substance of moral-religious courses and being able to apply them in learning, especially as a prospective early childhood education (ECE) teacher and cultivation in schools and communities. (AT-1)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Subject aims/content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course provides provisions for prospective early childhood education (ECE) teachers to (1) become a good example in carrying out their duties later in school and also in society, (2) understand morality or behavioral problems among school-age children (especially early childhood education age) and how to overcome them, (3) have points of view and strategies in teaching students based on moral-religious aspects.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Teaching methods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Assessment methods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 Paper, Portofolio.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This module is used in the following study program/s as well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Module Coordinator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Ruqoyyah Fitri, S.Ag., M.Pd.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Reference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Riyadi, A. K., Faidah, M., &amp; Abdullah, H. (2013). Religiusitas dan Konsep Diri Kaum Waria. Stern,J., 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James,M. (2019). Mastering Primary Religious Education. United Kingdom: Bloomsbury Publishing., 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Wallis, R. (2019). The Elementary Forms of the New Religious Life. United Kingdom: Taylor &amp; Francis., 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Foundation Subjects and Religious Education in the Primary School. (2020). United Kingdom: Taylor &amp; Francis Limited.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bxz7xb3cy4xGK69179WnxyaCXQ==">CgMxLjAyCGguZ2pkZ3hzMg5oLnV6dTJsbzZpaDJleDgAciExRnlmSzd2Q0tXbVhnMnpJNndqeDJXZllhXzNFa3pDM1o=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