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MODULE/COURSE HANDBOOK </w:t>
      </w:r>
      <w:r w:rsidDel="00000000" w:rsidR="00000000" w:rsidRPr="00000000">
        <w:rPr>
          <w:rtl w:val="0"/>
        </w:rPr>
      </w:r>
    </w:p>
    <w:tbl>
      <w:tblPr>
        <w:tblStyle w:val="Table1"/>
        <w:tblW w:w="9015.0" w:type="dxa"/>
        <w:jc w:val="left"/>
        <w:tblLayout w:type="fixed"/>
        <w:tblLook w:val="0400"/>
      </w:tblPr>
      <w:tblGrid>
        <w:gridCol w:w="1140"/>
        <w:gridCol w:w="2595"/>
        <w:gridCol w:w="1185"/>
        <w:gridCol w:w="1110"/>
        <w:gridCol w:w="1845"/>
        <w:gridCol w:w="1140"/>
        <w:tblGridChange w:id="0">
          <w:tblGrid>
            <w:gridCol w:w="1140"/>
            <w:gridCol w:w="2595"/>
            <w:gridCol w:w="1185"/>
            <w:gridCol w:w="1110"/>
            <w:gridCol w:w="1845"/>
            <w:gridCol w:w="1140"/>
          </w:tblGrid>
        </w:tblGridChange>
      </w:tblGrid>
      <w:tr>
        <w:trPr>
          <w:cantSplit w:val="0"/>
          <w:trHeight w:val="420" w:hRule="atLeast"/>
          <w:tblHeader w:val="0"/>
        </w:trPr>
        <w:tc>
          <w:tcPr>
            <w:gridSpan w:val="6"/>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2">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0"/>
                <w:szCs w:val="20"/>
                <w:rtl w:val="0"/>
              </w:rPr>
              <w:t xml:space="preserve">Internship-Development of Teaching Materials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Module/Course Title</w:t>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Development of Teaching Materials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Student Workload</w:t>
            </w: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Credits x 16 meetings x 170 /60 = 90, 6 hours/Semester</w:t>
            </w: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Credits (ECTS)</w:t>
            </w: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Credits x 1.59 = 3,18 ECTS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Semester</w:t>
            </w: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Year 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Frequency</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meetings (include Mid-term Exam and Final Exam)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Duration</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meetings</w:t>
            </w: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rPr>
            </w:pP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Type of course</w:t>
            </w: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Compulsory</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Contact hours</w:t>
            </w: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50/170 x 28,48 x (2 Credits x 1.59) = 26,64</w:t>
            </w: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Structured Assignment</w: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60/170 x 28,48 x (2 Credits x 1.59) = 32,0</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Independent study</w:t>
            </w: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60/170 x 28,48 x (2 Credits x 1.59) = 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Class size</w:t>
            </w:r>
            <w:r w:rsidDel="00000000" w:rsidR="00000000" w:rsidRPr="00000000">
              <w:rPr>
                <w:rtl w:val="0"/>
              </w:rPr>
            </w:r>
          </w:p>
          <w:p w:rsidR="00000000" w:rsidDel="00000000" w:rsidP="00000000" w:rsidRDefault="00000000" w:rsidRPr="00000000" w14:paraId="0000002C">
            <w:pPr>
              <w:spacing w:after="24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students</w:t>
            </w: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Prerequisites</w:t>
            </w:r>
            <w:r w:rsidDel="00000000" w:rsidR="00000000" w:rsidRPr="00000000">
              <w:rPr>
                <w:rFonts w:ascii="Times New Roman" w:cs="Times New Roman" w:eastAsia="Times New Roman" w:hAnsi="Times New Roman"/>
                <w:b w:val="1"/>
                <w:rtl w:val="0"/>
              </w:rPr>
              <w:t xml:space="preserve"> for participation (if applicable)</w:t>
            </w: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w:t>
            </w: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Learning outcomes (PLO+CLO)</w:t>
            </w: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PLO:</w:t>
            </w:r>
            <w:r w:rsidDel="00000000" w:rsidR="00000000" w:rsidRPr="00000000">
              <w:rPr>
                <w:rtl w:val="0"/>
              </w:rPr>
            </w:r>
          </w:p>
          <w:p w:rsidR="00000000" w:rsidDel="00000000" w:rsidP="00000000" w:rsidRDefault="00000000" w:rsidRPr="00000000" w14:paraId="00000039">
            <w:pPr>
              <w:numPr>
                <w:ilvl w:val="0"/>
                <w:numId w:val="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Possess leadership, managerial, and networking skills in the holistic and integrative organization of early childhood education. (GC-2)</w:t>
            </w:r>
          </w:p>
          <w:p w:rsidR="00000000" w:rsidDel="00000000" w:rsidP="00000000" w:rsidRDefault="00000000" w:rsidRPr="00000000" w14:paraId="0000003A">
            <w:pPr>
              <w:numPr>
                <w:ilvl w:val="0"/>
                <w:numId w:val="2"/>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Able to make appropriate decisions based on analysis of information and data, and able to provide guidance in selecting various alternative solutions in the implementation of early childhood education. (SC-3)</w:t>
            </w:r>
          </w:p>
          <w:p w:rsidR="00000000" w:rsidDel="00000000" w:rsidP="00000000" w:rsidRDefault="00000000" w:rsidRPr="00000000" w14:paraId="0000003B">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CLO:</w:t>
            </w:r>
            <w:r w:rsidDel="00000000" w:rsidR="00000000" w:rsidRPr="00000000">
              <w:rPr>
                <w:rtl w:val="0"/>
              </w:rPr>
            </w:r>
          </w:p>
          <w:p w:rsidR="00000000" w:rsidDel="00000000" w:rsidP="00000000" w:rsidRDefault="00000000" w:rsidRPr="00000000" w14:paraId="0000003C">
            <w:pPr>
              <w:numPr>
                <w:ilvl w:val="0"/>
                <w:numId w:val="4"/>
              </w:numPr>
              <w:spacing w:after="0" w:afterAutospacing="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Demonstrate proficiency in leadership strategies and techniques essential for effectively organizing and managing early childhood education programs.  (GC-2)  </w:t>
            </w:r>
          </w:p>
          <w:p w:rsidR="00000000" w:rsidDel="00000000" w:rsidP="00000000" w:rsidRDefault="00000000" w:rsidRPr="00000000" w14:paraId="0000003D">
            <w:pPr>
              <w:numPr>
                <w:ilvl w:val="0"/>
                <w:numId w:val="4"/>
              </w:numPr>
              <w:spacing w:after="24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Acquire the ability to analyze relevant data and information to make informed decisions in the context of early childhood education program development. (SC-3)</w:t>
            </w: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Subject aims/content</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44">
            <w:pPr>
              <w:widowControl w:val="0"/>
              <w:spacing w:after="160" w:line="25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course Development of Media and Teaching Materials in Early Childhood Education (PAUD) is designed to provide students with the knowledge and skills necessary for the development of various types of teaching materials relevant to early childhood learning. During this course, students will understand the crucial role of teaching materials in the process of early childhood learning, and they will learn about various types of teaching materials, including print materials, non-print materials, and display materials.</w:t>
            </w:r>
          </w:p>
          <w:p w:rsidR="00000000" w:rsidDel="00000000" w:rsidP="00000000" w:rsidRDefault="00000000" w:rsidRPr="00000000" w14:paraId="00000045">
            <w:pPr>
              <w:numPr>
                <w:ilvl w:val="0"/>
                <w:numId w:val="1"/>
              </w:numPr>
              <w:spacing w:before="1" w:line="240" w:lineRule="auto"/>
              <w:ind w:left="720" w:hanging="360"/>
              <w:jc w:val="both"/>
              <w:rPr>
                <w:rFonts w:ascii="Times New Roman" w:cs="Times New Roman" w:eastAsia="Times New Roman" w:hAnsi="Times New Roman"/>
                <w:u w:val="none"/>
              </w:rPr>
            </w:pP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Teaching methods </w:t>
            </w: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PjBL</w:t>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Assessment methods</w:t>
            </w: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Product (Pr)</w:t>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This module is used in the following study program/s as well</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w:t>
            </w: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Module Coordinator</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 Dr. Rachma Hasibuan, M.Kes</w:t>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Reference</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68">
            <w:pPr>
              <w:numPr>
                <w:ilvl w:val="0"/>
                <w:numId w:val="3"/>
              </w:numPr>
              <w:spacing w:line="240" w:lineRule="auto"/>
              <w:ind w:left="50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Mulyasa. 2012. Manajemen PAUD. Bandung: Remaja Rosdakarya</w:t>
            </w:r>
          </w:p>
          <w:p w:rsidR="00000000" w:rsidDel="00000000" w:rsidP="00000000" w:rsidRDefault="00000000" w:rsidRPr="00000000" w14:paraId="00000069">
            <w:pPr>
              <w:numPr>
                <w:ilvl w:val="0"/>
                <w:numId w:val="3"/>
              </w:numPr>
              <w:spacing w:line="240" w:lineRule="auto"/>
              <w:ind w:left="50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Barnawi,. Wiyani, Novan Ardy. 2012. Format PAUD. Jogjakarta: Ar Ruz Media</w:t>
            </w:r>
          </w:p>
          <w:p w:rsidR="00000000" w:rsidDel="00000000" w:rsidP="00000000" w:rsidRDefault="00000000" w:rsidRPr="00000000" w14:paraId="0000006A">
            <w:pPr>
              <w:numPr>
                <w:ilvl w:val="0"/>
                <w:numId w:val="3"/>
              </w:numPr>
              <w:spacing w:line="240" w:lineRule="auto"/>
              <w:ind w:left="50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Fadlillah, Muhammad. 2012. Desain Pembelajaran PAUD. Jogjakarta: Ar Ruz Media</w:t>
            </w:r>
          </w:p>
          <w:p w:rsidR="00000000" w:rsidDel="00000000" w:rsidP="00000000" w:rsidRDefault="00000000" w:rsidRPr="00000000" w14:paraId="0000006B">
            <w:pPr>
              <w:numPr>
                <w:ilvl w:val="0"/>
                <w:numId w:val="3"/>
              </w:numPr>
              <w:spacing w:line="240" w:lineRule="auto"/>
              <w:ind w:left="50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Arikunto, Suharsimi. 1992. Pengelolaan Kelas dan Siswa Sebuah Pendekatan Evaluatif. Jakarta: Rajawali</w:t>
            </w:r>
          </w:p>
          <w:p w:rsidR="00000000" w:rsidDel="00000000" w:rsidP="00000000" w:rsidRDefault="00000000" w:rsidRPr="00000000" w14:paraId="0000006C">
            <w:pPr>
              <w:numPr>
                <w:ilvl w:val="0"/>
                <w:numId w:val="3"/>
              </w:numPr>
              <w:spacing w:line="240" w:lineRule="auto"/>
              <w:ind w:left="50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Direktorat PAUD, Ditjen PLS. 2006. Pedoman Teknis Penyelenggaraan Kelompok Bermain. Jakarta: Depdiknas</w:t>
            </w:r>
          </w:p>
          <w:p w:rsidR="00000000" w:rsidDel="00000000" w:rsidP="00000000" w:rsidRDefault="00000000" w:rsidRPr="00000000" w14:paraId="0000006D">
            <w:pPr>
              <w:numPr>
                <w:ilvl w:val="0"/>
                <w:numId w:val="3"/>
              </w:numPr>
              <w:spacing w:line="240" w:lineRule="auto"/>
              <w:ind w:left="50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Carrol, Ja. 1991. Centers For Early Learners Throughout the Year. Chartage: Good Apple</w:t>
            </w:r>
          </w:p>
          <w:p w:rsidR="00000000" w:rsidDel="00000000" w:rsidP="00000000" w:rsidRDefault="00000000" w:rsidRPr="00000000" w14:paraId="0000006E">
            <w:pPr>
              <w:numPr>
                <w:ilvl w:val="0"/>
                <w:numId w:val="3"/>
              </w:numPr>
              <w:spacing w:line="240" w:lineRule="auto"/>
              <w:ind w:left="50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Coughlin, at al. 1992. Menciptakan Kelas yang Berpusat pada Anak.</w:t>
            </w:r>
          </w:p>
          <w:p w:rsidR="00000000" w:rsidDel="00000000" w:rsidP="00000000" w:rsidRDefault="00000000" w:rsidRPr="00000000" w14:paraId="0000006F">
            <w:pPr>
              <w:numPr>
                <w:ilvl w:val="0"/>
                <w:numId w:val="3"/>
              </w:numPr>
              <w:spacing w:line="240" w:lineRule="auto"/>
              <w:ind w:left="50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Padmonodewo, Soemiarti. 2002. Pendidikan Anak Prasekolah. Jakarta: Rieneka Cipta</w:t>
            </w:r>
          </w:p>
          <w:p w:rsidR="00000000" w:rsidDel="00000000" w:rsidP="00000000" w:rsidRDefault="00000000" w:rsidRPr="00000000" w14:paraId="00000070">
            <w:pPr>
              <w:numPr>
                <w:ilvl w:val="0"/>
                <w:numId w:val="3"/>
              </w:numPr>
              <w:spacing w:line="240" w:lineRule="auto"/>
              <w:ind w:left="50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Jamaris, Martini. 2003. PerkembangandanPengembanganAnakUsia TK. Jakarta: PPS UNJ</w:t>
            </w:r>
          </w:p>
          <w:p w:rsidR="00000000" w:rsidDel="00000000" w:rsidP="00000000" w:rsidRDefault="00000000" w:rsidRPr="00000000" w14:paraId="00000071">
            <w:pPr>
              <w:numPr>
                <w:ilvl w:val="0"/>
                <w:numId w:val="3"/>
              </w:numPr>
              <w:spacing w:line="240" w:lineRule="auto"/>
              <w:ind w:left="502"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Ibrahim, R. Syaodih. 2003. Perencanaan Pengajaran. Jakarta: Rieneka Cipta</w:t>
            </w: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77">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